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97C9492"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AC1427">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5D6225BB"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Administrativo </w:t>
      </w:r>
      <w:r w:rsidR="005466C3" w:rsidRPr="00B865A0">
        <w:rPr>
          <w:rFonts w:ascii="Arial" w:hAnsi="Arial" w:cs="Arial"/>
          <w:b/>
          <w:bCs/>
          <w:sz w:val="22"/>
          <w:szCs w:val="22"/>
        </w:rPr>
        <w:t xml:space="preserve">nº </w:t>
      </w:r>
      <w:r w:rsidR="00B865A0" w:rsidRPr="00B865A0">
        <w:rPr>
          <w:rFonts w:ascii="Arial" w:hAnsi="Arial" w:cs="Arial"/>
          <w:b/>
          <w:bCs/>
          <w:sz w:val="22"/>
          <w:szCs w:val="22"/>
        </w:rPr>
        <w:t>27.576/2025</w:t>
      </w:r>
      <w:r w:rsidR="00776D41" w:rsidRPr="00B865A0">
        <w:rPr>
          <w:rFonts w:ascii="Arial" w:hAnsi="Arial" w:cs="Arial"/>
          <w:b/>
          <w:bCs/>
          <w:sz w:val="22"/>
          <w:szCs w:val="22"/>
        </w:rPr>
        <w:t>,</w:t>
      </w:r>
      <w:r w:rsidR="005466C3" w:rsidRPr="00B865A0">
        <w:rPr>
          <w:rFonts w:ascii="Arial" w:hAnsi="Arial" w:cs="Arial"/>
          <w:b/>
          <w:bCs/>
          <w:sz w:val="22"/>
          <w:szCs w:val="22"/>
        </w:rPr>
        <w:t xml:space="preserve"> </w:t>
      </w:r>
      <w:r w:rsidRPr="00B865A0">
        <w:rPr>
          <w:rFonts w:ascii="Arial" w:hAnsi="Arial" w:cs="Arial"/>
          <w:sz w:val="22"/>
          <w:szCs w:val="22"/>
        </w:rPr>
        <w:t xml:space="preserve">e em observância às disposições da Lei nº </w:t>
      </w:r>
      <w:r w:rsidR="00F232EF" w:rsidRPr="00B865A0">
        <w:rPr>
          <w:rFonts w:ascii="Arial" w:hAnsi="Arial" w:cs="Arial"/>
          <w:sz w:val="22"/>
          <w:szCs w:val="22"/>
        </w:rPr>
        <w:t xml:space="preserve">14.133, </w:t>
      </w:r>
      <w:r w:rsidR="009872FB" w:rsidRPr="00B865A0">
        <w:rPr>
          <w:rFonts w:ascii="Arial" w:hAnsi="Arial" w:cs="Arial"/>
          <w:sz w:val="22"/>
          <w:szCs w:val="22"/>
        </w:rPr>
        <w:t xml:space="preserve">de 1º de abril </w:t>
      </w:r>
      <w:r w:rsidR="00F232EF" w:rsidRPr="00B865A0">
        <w:rPr>
          <w:rFonts w:ascii="Arial" w:hAnsi="Arial" w:cs="Arial"/>
          <w:sz w:val="22"/>
          <w:szCs w:val="22"/>
        </w:rPr>
        <w:t>de 2021</w:t>
      </w:r>
      <w:r w:rsidR="0050761F" w:rsidRPr="00B865A0">
        <w:rPr>
          <w:rFonts w:ascii="Arial" w:hAnsi="Arial" w:cs="Arial"/>
          <w:sz w:val="22"/>
          <w:szCs w:val="22"/>
        </w:rPr>
        <w:t xml:space="preserve"> </w:t>
      </w:r>
      <w:r w:rsidR="0050761F" w:rsidRPr="00B865A0">
        <w:rPr>
          <w:rFonts w:ascii="Arial" w:hAnsi="Arial" w:cs="Arial"/>
          <w:sz w:val="22"/>
          <w:szCs w:val="22"/>
          <w:lang w:val="pt-PT"/>
        </w:rPr>
        <w:t xml:space="preserve">e </w:t>
      </w:r>
      <w:r w:rsidR="009872FB" w:rsidRPr="00B865A0">
        <w:rPr>
          <w:rFonts w:ascii="Arial" w:hAnsi="Arial" w:cs="Arial"/>
          <w:sz w:val="22"/>
          <w:szCs w:val="22"/>
          <w:lang w:val="pt-PT"/>
        </w:rPr>
        <w:t>demais legislações aplicáveis</w:t>
      </w:r>
      <w:r w:rsidR="006306EF" w:rsidRPr="00B865A0">
        <w:rPr>
          <w:rFonts w:ascii="Arial" w:hAnsi="Arial" w:cs="Arial"/>
          <w:sz w:val="22"/>
          <w:szCs w:val="22"/>
        </w:rPr>
        <w:t>,</w:t>
      </w:r>
      <w:r w:rsidRPr="00B865A0">
        <w:rPr>
          <w:rFonts w:ascii="Arial" w:hAnsi="Arial" w:cs="Arial"/>
          <w:i/>
          <w:sz w:val="22"/>
          <w:szCs w:val="22"/>
        </w:rPr>
        <w:t xml:space="preserve"> </w:t>
      </w:r>
      <w:r w:rsidRPr="00B865A0">
        <w:rPr>
          <w:rFonts w:ascii="Arial" w:hAnsi="Arial" w:cs="Arial"/>
          <w:sz w:val="22"/>
          <w:szCs w:val="22"/>
        </w:rPr>
        <w:t xml:space="preserve">resolvem celebrar o presente Termo de Contrato, decorrente do </w:t>
      </w:r>
      <w:r w:rsidR="005466C3" w:rsidRPr="00B865A0">
        <w:rPr>
          <w:rFonts w:ascii="Arial" w:hAnsi="Arial" w:cs="Arial"/>
          <w:b/>
          <w:bCs/>
          <w:sz w:val="22"/>
          <w:szCs w:val="22"/>
        </w:rPr>
        <w:t>Pregão Eletrônico</w:t>
      </w:r>
      <w:r w:rsidR="000B23ED" w:rsidRPr="00B865A0">
        <w:rPr>
          <w:rFonts w:ascii="Arial" w:hAnsi="Arial" w:cs="Arial"/>
          <w:b/>
          <w:bCs/>
          <w:sz w:val="22"/>
          <w:szCs w:val="22"/>
        </w:rPr>
        <w:t xml:space="preserve"> </w:t>
      </w:r>
      <w:r w:rsidR="005466C3" w:rsidRPr="00B865A0">
        <w:rPr>
          <w:rFonts w:ascii="Arial" w:hAnsi="Arial" w:cs="Arial"/>
          <w:b/>
          <w:bCs/>
          <w:sz w:val="22"/>
          <w:szCs w:val="22"/>
        </w:rPr>
        <w:t xml:space="preserve">nº </w:t>
      </w:r>
      <w:r w:rsidR="00B865A0" w:rsidRPr="00B865A0">
        <w:rPr>
          <w:rFonts w:ascii="Arial" w:hAnsi="Arial" w:cs="Arial"/>
          <w:b/>
          <w:bCs/>
          <w:sz w:val="22"/>
          <w:szCs w:val="22"/>
        </w:rPr>
        <w:t>90.172/2025</w:t>
      </w:r>
      <w:r w:rsidRPr="00B865A0">
        <w:rPr>
          <w:rFonts w:ascii="Arial" w:hAnsi="Arial" w:cs="Arial"/>
          <w:sz w:val="22"/>
          <w:szCs w:val="22"/>
        </w:rPr>
        <w:t>, mediante 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17E4EED7"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B865A0" w:rsidRPr="00B865A0">
        <w:rPr>
          <w:rFonts w:ascii="Arial" w:eastAsia="Times New Roman" w:hAnsi="Arial" w:cs="Arial"/>
          <w:b/>
          <w:bCs/>
          <w:lang w:val="pt-BR" w:eastAsia="pt-BR"/>
        </w:rPr>
        <w:t>CONTRATAÇÃO DE EMPRESA ESPECIALIZADA PARA OS SERVIÇOS DE LOCAÇÃO DE PALCOS, PLATAFORMAS TELESCÓPICAS, CABINES E ESTRUTURAS PARA DIVULGAÇÃO PARA EVENTOS, para atender as necessidades da Secretaria de Turismo, da Secretaria de Cultura e Secretaria de Esportes e Lazer</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76A14448" w:rsidR="00B0084D" w:rsidRPr="00B865A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65A0">
        <w:rPr>
          <w:rFonts w:ascii="Arial" w:hAnsi="Arial" w:cs="Arial"/>
          <w:bCs/>
          <w:iCs/>
        </w:rPr>
        <w:t xml:space="preserve">O prazo de vigência da contratação é de .............................. contados do(a) ............................., prorrogável por até 10 anos, na forma dos </w:t>
      </w:r>
      <w:hyperlink r:id="rId9" w:anchor="art106" w:history="1">
        <w:r w:rsidRPr="00B865A0">
          <w:rPr>
            <w:rFonts w:ascii="Arial" w:hAnsi="Arial" w:cs="Arial"/>
            <w:bCs/>
            <w:iCs/>
          </w:rPr>
          <w:t>artigos 106 e 107 da Lei n° 14.133, de 2021</w:t>
        </w:r>
      </w:hyperlink>
      <w:r w:rsidRPr="00B865A0">
        <w:rPr>
          <w:rFonts w:ascii="Arial" w:hAnsi="Arial" w:cs="Arial"/>
          <w:bCs/>
          <w:iCs/>
        </w:rPr>
        <w:t xml:space="preserve">. </w:t>
      </w:r>
    </w:p>
    <w:p w14:paraId="42385670" w14:textId="0658CE8C" w:rsidR="007E7BBF" w:rsidRPr="00B865A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65A0">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B865A0">
        <w:rPr>
          <w:rFonts w:ascii="Arial" w:hAnsi="Arial" w:cs="Arial"/>
          <w:bCs/>
          <w:iCs/>
        </w:rPr>
        <w:t>, atentando, ainda, para o cumprimento dos seguintes requisitos:</w:t>
      </w:r>
    </w:p>
    <w:p w14:paraId="3CDD9C7C" w14:textId="77777777" w:rsidR="007E7BBF" w:rsidRPr="00B865A0"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65A0">
        <w:rPr>
          <w:rFonts w:ascii="Arial" w:hAnsi="Arial" w:cs="Arial"/>
          <w:bCs/>
          <w:iCs/>
        </w:rPr>
        <w:t>Estar formalmente demonstrado no processo que a forma de prestação dos serviços tem natureza continuada;</w:t>
      </w:r>
    </w:p>
    <w:p w14:paraId="1CC92467" w14:textId="77777777" w:rsidR="007E7BBF" w:rsidRPr="00B865A0"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65A0">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B865A0"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65A0">
        <w:rPr>
          <w:rFonts w:ascii="Arial" w:hAnsi="Arial" w:cs="Arial"/>
          <w:bCs/>
          <w:iCs/>
        </w:rPr>
        <w:t xml:space="preserve">Seja juntada justificativa e motivo, por escrito, de que a Administração mantém interesse na realização do serviço;  </w:t>
      </w:r>
    </w:p>
    <w:p w14:paraId="1BDFC839" w14:textId="77777777" w:rsidR="007E7BBF" w:rsidRPr="00B865A0"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65A0">
        <w:rPr>
          <w:rFonts w:ascii="Arial" w:hAnsi="Arial" w:cs="Arial"/>
          <w:bCs/>
          <w:iCs/>
        </w:rPr>
        <w:t xml:space="preserve">Haja manifestação expressa do contratado informando o interesse na prorrogação; </w:t>
      </w:r>
    </w:p>
    <w:p w14:paraId="7310E3C8" w14:textId="77777777" w:rsidR="007E7BBF" w:rsidRPr="00B865A0"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B865A0">
        <w:rPr>
          <w:rFonts w:ascii="Arial" w:hAnsi="Arial" w:cs="Arial"/>
          <w:bCs/>
          <w:iCs/>
        </w:rPr>
        <w:t>Seja comprovado que o contratado mantém as condições iniciais de habilitação.</w:t>
      </w:r>
    </w:p>
    <w:p w14:paraId="27B1858E" w14:textId="26310923" w:rsidR="00B0084D" w:rsidRPr="00B865A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65A0">
        <w:rPr>
          <w:rFonts w:ascii="Arial" w:hAnsi="Arial" w:cs="Arial"/>
          <w:bCs/>
          <w:iCs/>
        </w:rPr>
        <w:t>O contratado não tem direito subjetivo à prorrogação contratual.</w:t>
      </w:r>
    </w:p>
    <w:p w14:paraId="605D55A7" w14:textId="7CE278B1" w:rsidR="00B0084D" w:rsidRPr="00B865A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65A0">
        <w:rPr>
          <w:rFonts w:ascii="Arial" w:hAnsi="Arial" w:cs="Arial"/>
          <w:bCs/>
          <w:iCs/>
        </w:rPr>
        <w:t>A prorrogação de contrato deverá ser promovida mediante celebração de termo aditivo.</w:t>
      </w:r>
    </w:p>
    <w:p w14:paraId="76BC33BE" w14:textId="77777777" w:rsidR="007E7BBF" w:rsidRPr="00B865A0" w:rsidRDefault="007E7BBF" w:rsidP="00807004">
      <w:pPr>
        <w:pStyle w:val="Nvel2-Red"/>
        <w:numPr>
          <w:ilvl w:val="1"/>
          <w:numId w:val="2"/>
        </w:numPr>
        <w:rPr>
          <w:rFonts w:eastAsia="Verdana"/>
          <w:bCs/>
          <w:i w:val="0"/>
          <w:color w:val="auto"/>
          <w:sz w:val="22"/>
          <w:szCs w:val="22"/>
          <w:lang w:val="pt-PT" w:eastAsia="en-US"/>
        </w:rPr>
      </w:pPr>
      <w:r w:rsidRPr="00B865A0">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B865A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865A0">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05972650" w:rsidR="007B0D84" w:rsidRPr="007E29CD" w:rsidRDefault="000D138A" w:rsidP="007E29CD">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7E29CD">
        <w:rPr>
          <w:rFonts w:ascii="Arial" w:hAnsi="Arial" w:cs="Arial"/>
          <w:bCs/>
          <w:iCs/>
          <w:u w:val="single"/>
        </w:rPr>
        <w:t>MODELO DE EXECUÇÃO DO OBJETO (arts. 6º, XXIII, alínea “e” e 40, §1º, inciso II, da Lei nº 14.133/2021):</w:t>
      </w:r>
    </w:p>
    <w:p w14:paraId="6A426633" w14:textId="7EA5C870" w:rsidR="000D138A" w:rsidRPr="007E29CD" w:rsidRDefault="000D138A" w:rsidP="007E29CD">
      <w:pPr>
        <w:pStyle w:val="PargrafodaLista"/>
        <w:numPr>
          <w:ilvl w:val="2"/>
          <w:numId w:val="2"/>
        </w:numPr>
        <w:spacing w:before="280" w:after="120" w:line="276" w:lineRule="auto"/>
        <w:ind w:left="0" w:firstLine="0"/>
        <w:jc w:val="both"/>
        <w:rPr>
          <w:rFonts w:ascii="Arial" w:hAnsi="Arial" w:cs="Arial"/>
          <w:bCs/>
          <w:iCs/>
        </w:rPr>
      </w:pPr>
      <w:r w:rsidRPr="007E29CD">
        <w:rPr>
          <w:rFonts w:ascii="Arial" w:hAnsi="Arial" w:cs="Arial"/>
          <w:bCs/>
          <w:iCs/>
        </w:rPr>
        <w:t xml:space="preserve">O prazo de execução dos serviços será de 1 (um) ano, contados da data de publicação </w:t>
      </w:r>
      <w:r w:rsidRPr="007E29CD">
        <w:rPr>
          <w:rFonts w:ascii="Arial" w:hAnsi="Arial" w:cs="Arial"/>
          <w:bCs/>
          <w:iCs/>
        </w:rPr>
        <w:lastRenderedPageBreak/>
        <w:t>do extrato da Ata de Registro de Preços.</w:t>
      </w:r>
    </w:p>
    <w:p w14:paraId="1057B462" w14:textId="765A3BDF" w:rsidR="000D138A" w:rsidRPr="007E29CD" w:rsidRDefault="000D138A" w:rsidP="007E29CD">
      <w:pPr>
        <w:pStyle w:val="PargrafodaLista"/>
        <w:numPr>
          <w:ilvl w:val="2"/>
          <w:numId w:val="2"/>
        </w:numPr>
        <w:spacing w:after="120" w:line="276" w:lineRule="auto"/>
        <w:ind w:left="0" w:firstLine="0"/>
        <w:jc w:val="both"/>
        <w:rPr>
          <w:rFonts w:ascii="Arial" w:hAnsi="Arial" w:cs="Arial"/>
          <w:bCs/>
          <w:iCs/>
        </w:rPr>
      </w:pPr>
      <w:r w:rsidRPr="007E29CD">
        <w:rPr>
          <w:rFonts w:ascii="Arial" w:hAnsi="Arial" w:cs="Arial"/>
          <w:bCs/>
          <w:iCs/>
        </w:rPr>
        <w:t>A prestação do serviço acontecerá dentro do território de Nova Friburgo contemplando os 08 distritos e será informado no momento da solicitação do serviço.</w:t>
      </w:r>
    </w:p>
    <w:p w14:paraId="0FAFBEC3" w14:textId="6DFABDD9" w:rsidR="000D138A" w:rsidRPr="007E29CD" w:rsidRDefault="000D138A" w:rsidP="007E29CD">
      <w:pPr>
        <w:pStyle w:val="PargrafodaLista"/>
        <w:numPr>
          <w:ilvl w:val="2"/>
          <w:numId w:val="2"/>
        </w:numPr>
        <w:spacing w:after="120" w:line="276" w:lineRule="auto"/>
        <w:ind w:left="0" w:firstLine="0"/>
        <w:jc w:val="both"/>
        <w:rPr>
          <w:rFonts w:ascii="Arial" w:hAnsi="Arial" w:cs="Arial"/>
          <w:bCs/>
          <w:iCs/>
        </w:rPr>
      </w:pPr>
      <w:r w:rsidRPr="007E29CD">
        <w:rPr>
          <w:rFonts w:ascii="Arial" w:hAnsi="Arial" w:cs="Arial"/>
          <w:bCs/>
          <w:iCs/>
        </w:rPr>
        <w:t>A empresa vencedora do certame deverá estar ciente que deverá ter condições de atender aos serviços em um prazo máximo de 72h, após a solicitação da secretaria solicitante;</w:t>
      </w:r>
    </w:p>
    <w:p w14:paraId="64360A4A" w14:textId="74B931C2" w:rsidR="000D138A" w:rsidRPr="007E29CD" w:rsidRDefault="000D138A" w:rsidP="007E29CD">
      <w:pPr>
        <w:pStyle w:val="PargrafodaLista"/>
        <w:numPr>
          <w:ilvl w:val="2"/>
          <w:numId w:val="2"/>
        </w:numPr>
        <w:spacing w:after="120" w:line="276" w:lineRule="auto"/>
        <w:ind w:left="0" w:firstLine="0"/>
        <w:jc w:val="both"/>
        <w:rPr>
          <w:rFonts w:ascii="Arial" w:hAnsi="Arial" w:cs="Arial"/>
          <w:bCs/>
          <w:iCs/>
        </w:rPr>
      </w:pPr>
      <w:r w:rsidRPr="007E29CD">
        <w:rPr>
          <w:rFonts w:ascii="Arial" w:hAnsi="Arial" w:cs="Arial"/>
          <w:bCs/>
          <w:iCs/>
        </w:rPr>
        <w:t>As necessidades inerentes a cada lote estão descritas no item 4 deste Termo de Referência.</w:t>
      </w:r>
    </w:p>
    <w:p w14:paraId="0835B5B8" w14:textId="13C0574B" w:rsidR="000D138A" w:rsidRPr="007E29CD" w:rsidRDefault="000D138A" w:rsidP="007E29CD">
      <w:pPr>
        <w:pStyle w:val="PargrafodaLista"/>
        <w:numPr>
          <w:ilvl w:val="2"/>
          <w:numId w:val="2"/>
        </w:numPr>
        <w:spacing w:after="120" w:line="276" w:lineRule="auto"/>
        <w:ind w:left="0" w:firstLine="0"/>
        <w:jc w:val="both"/>
        <w:rPr>
          <w:rFonts w:ascii="Arial" w:hAnsi="Arial" w:cs="Arial"/>
          <w:bCs/>
          <w:iCs/>
        </w:rPr>
      </w:pPr>
      <w:r w:rsidRPr="007E29CD">
        <w:rPr>
          <w:rFonts w:ascii="Arial" w:hAnsi="Arial" w:cs="Arial"/>
          <w:bCs/>
          <w:iCs/>
        </w:rPr>
        <w:t>Do Recebimento:</w:t>
      </w:r>
    </w:p>
    <w:p w14:paraId="0FD7E25C" w14:textId="77777777" w:rsidR="000D138A" w:rsidRPr="007E29CD" w:rsidRDefault="000D138A" w:rsidP="007E29CD">
      <w:pPr>
        <w:pStyle w:val="PargrafodaLista"/>
        <w:numPr>
          <w:ilvl w:val="3"/>
          <w:numId w:val="2"/>
        </w:numPr>
        <w:spacing w:after="120" w:line="276" w:lineRule="auto"/>
        <w:ind w:left="0" w:firstLine="0"/>
        <w:jc w:val="both"/>
        <w:rPr>
          <w:rFonts w:ascii="Arial" w:hAnsi="Arial" w:cs="Arial"/>
          <w:bCs/>
          <w:iCs/>
        </w:rPr>
      </w:pPr>
      <w:r w:rsidRPr="007E29CD">
        <w:rPr>
          <w:rFonts w:ascii="Arial" w:hAnsi="Arial" w:cs="Arial"/>
          <w:bCs/>
          <w:iCs/>
        </w:rPr>
        <w:t>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p>
    <w:p w14:paraId="0F88F87D" w14:textId="17F8F0B8" w:rsidR="000D138A" w:rsidRPr="007E29CD" w:rsidRDefault="000D138A" w:rsidP="007E29CD">
      <w:pPr>
        <w:pStyle w:val="PargrafodaLista"/>
        <w:spacing w:after="120" w:line="276" w:lineRule="auto"/>
        <w:ind w:left="0"/>
        <w:jc w:val="both"/>
        <w:rPr>
          <w:rFonts w:ascii="Arial" w:hAnsi="Arial" w:cs="Arial"/>
          <w:bCs/>
          <w:iCs/>
        </w:rPr>
      </w:pPr>
      <w:r w:rsidRPr="007E29CD">
        <w:rPr>
          <w:rFonts w:ascii="Arial" w:hAnsi="Arial" w:cs="Arial"/>
          <w:bCs/>
          <w:iCs/>
        </w:rPr>
        <w:t>- 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r w:rsidRPr="007E29CD">
        <w:rPr>
          <w:rFonts w:ascii="Arial" w:hAnsi="Arial" w:cs="Arial"/>
          <w:bCs/>
          <w:iCs/>
        </w:rPr>
        <w:br/>
        <w:t>- Emitir Termo Circunstanciado para efeito de recebimento definitivo dos serviços prestados, com base nos relatórios e documentações apresentadas; e</w:t>
      </w:r>
      <w:r w:rsidRPr="007E29CD">
        <w:rPr>
          <w:rFonts w:ascii="Arial" w:hAnsi="Arial" w:cs="Arial"/>
          <w:bCs/>
          <w:iCs/>
        </w:rPr>
        <w:br/>
        <w:t>- Comunicar a empresa para que emita a Nota Fiscal ou Fatura, com o valor exato dimensionado pela fiscalização.</w:t>
      </w:r>
      <w:r w:rsidRPr="007E29CD">
        <w:rPr>
          <w:rFonts w:ascii="Arial" w:hAnsi="Arial" w:cs="Arial"/>
          <w:bCs/>
          <w:iCs/>
        </w:rPr>
        <w:br/>
        <w:t>- O recebimento provisório ou definitivo não excluirá a responsabilidade civil pela solidez e pela segurança do serviço nem a responsabilidade ético-profissional pela perfeita execução do contrato.</w:t>
      </w:r>
    </w:p>
    <w:p w14:paraId="27F95477" w14:textId="230A8154" w:rsidR="000D138A" w:rsidRPr="007E29CD" w:rsidRDefault="000D138A" w:rsidP="007E29CD">
      <w:pPr>
        <w:spacing w:after="120" w:line="276" w:lineRule="auto"/>
        <w:jc w:val="both"/>
        <w:rPr>
          <w:rFonts w:ascii="Arial" w:hAnsi="Arial" w:cs="Arial"/>
          <w:bCs/>
          <w:iCs/>
          <w:u w:val="single"/>
        </w:rPr>
      </w:pPr>
      <w:r w:rsidRPr="007E29CD">
        <w:rPr>
          <w:rFonts w:ascii="Arial" w:hAnsi="Arial" w:cs="Arial"/>
          <w:bCs/>
          <w:iCs/>
          <w:u w:val="single"/>
        </w:rPr>
        <w:t>3.2 MODELO DE GESTÃO DO CONTRATO (art. 6º, XXIII, alínea “f”, da Lei nº 14.133/21):</w:t>
      </w:r>
    </w:p>
    <w:p w14:paraId="6D0EEBEE" w14:textId="728426FF"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707DF102" w14:textId="229ED8A8"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3.2.2  Em caso de impedimento, ordem de paralisação ou suspensão do contrato, o cronograma de execução será prorrogado automaticamente pelo tempo correspondente, anotadas tais circunstâncias mediante simples apostila (Lei nº 14.133/2021, art. 115, §5º).</w:t>
      </w:r>
    </w:p>
    <w:p w14:paraId="2A93DB21" w14:textId="0817E335"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3.2.3 A execução do contrato deverá ser acompanhada e fiscalizada pelo(s) fiscal(is) do contrato, ou pelos respectivos substitutos (Lei nº 14.133/2021, art. 117, caput).</w:t>
      </w:r>
    </w:p>
    <w:p w14:paraId="054A4F24" w14:textId="1E2F1735" w:rsidR="000D138A" w:rsidRPr="007E29CD" w:rsidRDefault="000D138A" w:rsidP="007E29CD">
      <w:pPr>
        <w:pBdr>
          <w:top w:val="none" w:sz="0" w:space="0" w:color="1F497D"/>
        </w:pBdr>
        <w:tabs>
          <w:tab w:val="left" w:pos="360"/>
          <w:tab w:val="left" w:pos="450"/>
        </w:tabs>
        <w:spacing w:after="120" w:line="276" w:lineRule="auto"/>
        <w:jc w:val="both"/>
        <w:rPr>
          <w:rFonts w:ascii="Arial" w:hAnsi="Arial" w:cs="Arial"/>
          <w:bCs/>
          <w:iCs/>
        </w:rPr>
      </w:pPr>
      <w:r w:rsidRPr="007E29CD">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0ECADCDE" w14:textId="76072060" w:rsidR="000D138A" w:rsidRPr="007E29CD" w:rsidRDefault="000D138A" w:rsidP="007E29CD">
      <w:pPr>
        <w:tabs>
          <w:tab w:val="left" w:pos="360"/>
          <w:tab w:val="left" w:pos="450"/>
        </w:tabs>
        <w:spacing w:after="120" w:line="276" w:lineRule="auto"/>
        <w:jc w:val="both"/>
        <w:rPr>
          <w:rFonts w:ascii="Arial" w:hAnsi="Arial" w:cs="Arial"/>
          <w:bCs/>
          <w:iCs/>
        </w:rPr>
      </w:pPr>
      <w:r w:rsidRPr="007E29CD">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1787DA63" w14:textId="4E523C28" w:rsidR="000D138A" w:rsidRPr="007E29CD" w:rsidRDefault="000D138A" w:rsidP="007E29CD">
      <w:pPr>
        <w:spacing w:after="120" w:line="276" w:lineRule="auto"/>
        <w:jc w:val="both"/>
        <w:rPr>
          <w:rFonts w:ascii="Arial" w:hAnsi="Arial" w:cs="Arial"/>
          <w:bCs/>
          <w:iCs/>
        </w:rPr>
      </w:pPr>
      <w:r w:rsidRPr="007E29CD">
        <w:rPr>
          <w:rFonts w:ascii="Arial" w:hAnsi="Arial" w:cs="Arial"/>
          <w:bCs/>
          <w:iCs/>
        </w:rPr>
        <w:lastRenderedPageBreak/>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1D1C21C" w14:textId="517BC801"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77108436" w14:textId="599974D7"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3.2.8 Somente o contratado será responsável pelos encargos trabalhistas, previdenciários, fiscais e comerciais resultantes da execução do contrato (Lei nº 14.133/2021, art. 121, caput).</w:t>
      </w:r>
    </w:p>
    <w:p w14:paraId="4FACF5DD" w14:textId="416A78D0" w:rsidR="000D138A" w:rsidRPr="007E29CD" w:rsidRDefault="000D138A" w:rsidP="007E29CD">
      <w:pPr>
        <w:tabs>
          <w:tab w:val="left" w:pos="360"/>
        </w:tabs>
        <w:spacing w:after="120" w:line="276" w:lineRule="auto"/>
        <w:jc w:val="both"/>
        <w:rPr>
          <w:rFonts w:ascii="Arial" w:hAnsi="Arial" w:cs="Arial"/>
          <w:bCs/>
          <w:iCs/>
        </w:rPr>
      </w:pPr>
      <w:r w:rsidRPr="007E29CD">
        <w:rPr>
          <w:rFonts w:ascii="Arial" w:hAnsi="Arial" w:cs="Arial"/>
          <w:bCs/>
          <w:iCs/>
        </w:rPr>
        <w:t>3.2.9 A inadimplência do contratado em relação aos encargos trabalhistas, fiscais e comerciais não transferirá à Administração a responsabilidade pelo seu pagamento e não poderá onerar o objeto do contrato (Lei nº 14.133/2021, art. 121, §1º).</w:t>
      </w:r>
    </w:p>
    <w:p w14:paraId="39610F01" w14:textId="3072FA35"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3.2.10 As comunicações entre o órgão ou entidade e a contratada devem ser realizadas por escrito sempre que o ato exigir tal formalidade, admitindo-se, excepcionalmente, o uso de mensagem eletrônica para esse fim.</w:t>
      </w:r>
    </w:p>
    <w:p w14:paraId="5B896C88" w14:textId="3285048C" w:rsidR="000D138A" w:rsidRPr="007E29CD" w:rsidRDefault="000D138A" w:rsidP="007E29CD">
      <w:pPr>
        <w:spacing w:after="120" w:line="276" w:lineRule="auto"/>
        <w:jc w:val="both"/>
        <w:rPr>
          <w:rFonts w:ascii="Arial" w:hAnsi="Arial" w:cs="Arial"/>
          <w:bCs/>
          <w:iCs/>
        </w:rPr>
      </w:pPr>
      <w:r w:rsidRPr="007E29CD">
        <w:rPr>
          <w:rFonts w:ascii="Arial" w:hAnsi="Arial" w:cs="Arial"/>
          <w:bCs/>
          <w:iCs/>
        </w:rPr>
        <w:t>3.2.11 O órgão ou entidade poderá convocar representante da empresa para adoção de providências que devam ser cumpridas de imediato.</w:t>
      </w:r>
    </w:p>
    <w:p w14:paraId="42158F13" w14:textId="0E66AF13"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3.2.12</w:t>
      </w:r>
      <w:r w:rsidR="000D138A" w:rsidRPr="007E29CD">
        <w:rPr>
          <w:rFonts w:ascii="Arial" w:hAnsi="Arial" w:cs="Arial"/>
          <w:bCs/>
          <w:iCs/>
        </w:rPr>
        <w:t xml:space="preserve">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01E946F" w14:textId="1937D8BE"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3.2.13</w:t>
      </w:r>
      <w:r w:rsidR="000D138A" w:rsidRPr="007E29CD">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40313992" w14:textId="0BD12A0C"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3.2.14</w:t>
      </w:r>
      <w:r w:rsidR="000D138A" w:rsidRPr="007E29CD">
        <w:rPr>
          <w:rFonts w:ascii="Arial" w:hAnsi="Arial" w:cs="Arial"/>
          <w:bCs/>
          <w:iCs/>
        </w:rPr>
        <w:t xml:space="preserve"> Para o acompanhamento, gestão e fiscalização da execução do presente contrato, serão designados em momento posterior, antes da execução do objeto, agentes públicos gestor/gestor substituto e fiscal/ fiscal substituto. </w:t>
      </w:r>
    </w:p>
    <w:p w14:paraId="3B7A6850" w14:textId="0260D1CD"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3.2.15</w:t>
      </w:r>
      <w:r w:rsidR="000D138A" w:rsidRPr="007E29CD">
        <w:rPr>
          <w:rFonts w:ascii="Arial" w:hAnsi="Arial" w:cs="Arial"/>
          <w:bCs/>
          <w:iC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2008978" w14:textId="2CF98B81"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3.2.16</w:t>
      </w:r>
      <w:r w:rsidR="000D138A" w:rsidRPr="007E29CD">
        <w:rPr>
          <w:rFonts w:ascii="Arial" w:hAnsi="Arial" w:cs="Arial"/>
          <w:bCs/>
          <w:iCs/>
        </w:rPr>
        <w:t xml:space="preserve"> O(s) fiscal(is) designado pela Contratante deverá ter a experiência necessária para o acompanhamento e controle da execução dos serviços e do contrato;</w:t>
      </w:r>
    </w:p>
    <w:p w14:paraId="49A6BA94" w14:textId="3C682333"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3.2.17</w:t>
      </w:r>
      <w:r w:rsidR="000D138A" w:rsidRPr="007E29CD">
        <w:rPr>
          <w:rFonts w:ascii="Arial" w:hAnsi="Arial" w:cs="Arial"/>
          <w:bCs/>
          <w:iCs/>
        </w:rPr>
        <w:t xml:space="preserve"> A verificação da adequação da prestação do serviço deverá ser realizada com base nos critérios previstos neste Termo de Referência;</w:t>
      </w:r>
    </w:p>
    <w:p w14:paraId="1C508E85" w14:textId="098E1A26" w:rsidR="000D138A" w:rsidRPr="007E29CD" w:rsidRDefault="007E29CD" w:rsidP="007E29CD">
      <w:pPr>
        <w:spacing w:after="120" w:line="276" w:lineRule="auto"/>
        <w:jc w:val="both"/>
        <w:rPr>
          <w:rFonts w:ascii="Arial" w:hAnsi="Arial" w:cs="Arial"/>
          <w:bCs/>
          <w:iCs/>
        </w:rPr>
      </w:pPr>
      <w:r w:rsidRPr="007E29CD">
        <w:rPr>
          <w:rFonts w:ascii="Arial" w:hAnsi="Arial" w:cs="Arial"/>
          <w:bCs/>
          <w:iCs/>
        </w:rPr>
        <w:t>3.2.18</w:t>
      </w:r>
      <w:r w:rsidR="000D138A" w:rsidRPr="007E29CD">
        <w:rPr>
          <w:rFonts w:ascii="Arial" w:hAnsi="Arial" w:cs="Arial"/>
          <w:bCs/>
          <w:iCs/>
        </w:rPr>
        <w:t xml:space="preserve"> A fiscalização não exclui nem reduz a responsabilidade da Contratada pelos danos </w:t>
      </w:r>
      <w:r w:rsidR="000D138A" w:rsidRPr="007E29CD">
        <w:rPr>
          <w:rFonts w:ascii="Arial" w:hAnsi="Arial" w:cs="Arial"/>
          <w:bCs/>
          <w:iCs/>
        </w:rPr>
        <w:lastRenderedPageBreak/>
        <w:t>causados à Administração ou a terceiros, decorrentes de sua culpa ou dolo na execução do contrato, não excluindo ou reduzindo essa responsabilidade a fiscalização ou o acompanhamento pelo órgão.</w:t>
      </w:r>
    </w:p>
    <w:p w14:paraId="167AF1B3" w14:textId="77777777" w:rsidR="000D138A" w:rsidRPr="000D138A" w:rsidRDefault="000D138A" w:rsidP="000D138A">
      <w:pPr>
        <w:widowControl/>
        <w:tabs>
          <w:tab w:val="left" w:pos="426"/>
        </w:tabs>
        <w:autoSpaceDE/>
        <w:autoSpaceDN/>
        <w:spacing w:before="120" w:after="120" w:line="276" w:lineRule="auto"/>
        <w:jc w:val="both"/>
        <w:rPr>
          <w:rFonts w:ascii="Arial" w:hAnsi="Arial" w:cs="Arial"/>
          <w:bCs/>
          <w:iCs/>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7E29C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E29CD">
        <w:rPr>
          <w:rFonts w:ascii="Arial" w:hAnsi="Arial" w:cs="Arial"/>
          <w:bCs/>
          <w:iCs/>
        </w:rPr>
        <w:t>O valor total da contratação é de R$.......... (.....)</w:t>
      </w:r>
    </w:p>
    <w:p w14:paraId="19E0CAC1" w14:textId="3066B963" w:rsidR="001D32DF" w:rsidRPr="007E29CD"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E29CD">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7E29CD"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E29CD">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807004">
      <w:pPr>
        <w:pStyle w:val="PargrafodaLista"/>
        <w:numPr>
          <w:ilvl w:val="0"/>
          <w:numId w:val="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410B390D" w14:textId="4FAF0418" w:rsidR="007E29CD" w:rsidRPr="007E29CD" w:rsidRDefault="007E29CD" w:rsidP="007E29CD">
      <w:pPr>
        <w:pStyle w:val="PargrafodaLista"/>
        <w:numPr>
          <w:ilvl w:val="1"/>
          <w:numId w:val="2"/>
        </w:numPr>
        <w:shd w:val="clear" w:color="auto" w:fill="FFFFFF"/>
        <w:spacing w:before="240" w:after="120" w:line="276" w:lineRule="auto"/>
        <w:ind w:left="0" w:firstLine="0"/>
        <w:jc w:val="both"/>
        <w:rPr>
          <w:rFonts w:ascii="Arial" w:hAnsi="Arial" w:cs="Arial"/>
          <w:bCs/>
          <w:iCs/>
        </w:rPr>
      </w:pPr>
      <w:r w:rsidRPr="007E29CD">
        <w:rPr>
          <w:rFonts w:ascii="Arial" w:hAnsi="Arial" w:cs="Arial"/>
          <w:bCs/>
          <w:iCs/>
        </w:rPr>
        <w:t xml:space="preserve">As Notas Fiscais deverão ser emitidas em nome de: </w:t>
      </w:r>
      <w:r w:rsidRPr="007E29CD">
        <w:rPr>
          <w:rFonts w:ascii="Arial" w:hAnsi="Arial" w:cs="Arial"/>
          <w:b/>
          <w:iCs/>
        </w:rPr>
        <w:t>Município de Nova Friburgo, CNPJ: 28.606.630/0001-23, ENDEREÇO: Avenida Alberto Braune, 225, centro, Nova Friburgo-RJ, CEP: 28613-001</w:t>
      </w:r>
      <w:r w:rsidRPr="007E29CD">
        <w:rPr>
          <w:rFonts w:ascii="Arial" w:hAnsi="Arial" w:cs="Arial"/>
          <w:bCs/>
          <w:iCs/>
        </w:rPr>
        <w:t>.</w:t>
      </w:r>
    </w:p>
    <w:p w14:paraId="66986DEE" w14:textId="630C0D32" w:rsidR="007E29CD" w:rsidRPr="007E29CD" w:rsidRDefault="007E29CD" w:rsidP="007E29CD">
      <w:pPr>
        <w:pStyle w:val="PargrafodaLista"/>
        <w:numPr>
          <w:ilvl w:val="1"/>
          <w:numId w:val="2"/>
        </w:numPr>
        <w:shd w:val="clear" w:color="auto" w:fill="FFFFFF"/>
        <w:spacing w:before="240" w:after="120" w:line="276" w:lineRule="auto"/>
        <w:ind w:left="0" w:firstLine="0"/>
        <w:jc w:val="both"/>
        <w:rPr>
          <w:rFonts w:ascii="Arial" w:hAnsi="Arial" w:cs="Arial"/>
          <w:bCs/>
          <w:iCs/>
          <w:u w:val="single"/>
        </w:rPr>
      </w:pPr>
      <w:r w:rsidRPr="007E29CD">
        <w:rPr>
          <w:rFonts w:ascii="Arial" w:hAnsi="Arial" w:cs="Arial"/>
          <w:bCs/>
          <w:iCs/>
          <w:u w:val="single"/>
        </w:rPr>
        <w:t>Da liquidação da despesa:</w:t>
      </w:r>
    </w:p>
    <w:p w14:paraId="00BE24DF" w14:textId="6E7D77FE" w:rsidR="007E29CD" w:rsidRPr="007E29CD" w:rsidRDefault="007E29CD" w:rsidP="007E29CD">
      <w:pPr>
        <w:pStyle w:val="PargrafodaLista"/>
        <w:numPr>
          <w:ilvl w:val="2"/>
          <w:numId w:val="2"/>
        </w:numPr>
        <w:spacing w:before="240" w:after="120" w:line="276" w:lineRule="auto"/>
        <w:ind w:left="0" w:firstLine="0"/>
        <w:jc w:val="both"/>
        <w:rPr>
          <w:rFonts w:ascii="Arial" w:hAnsi="Arial" w:cs="Arial"/>
          <w:bCs/>
          <w:iCs/>
        </w:rPr>
      </w:pPr>
      <w:r w:rsidRPr="007E29CD">
        <w:rPr>
          <w:rFonts w:ascii="Arial" w:hAnsi="Arial" w:cs="Arial"/>
          <w:bCs/>
          <w:iCs/>
        </w:rPr>
        <w:t>A liquidação será realizada pela Secretaria Municipal de Fazenda, a partir do cumprimento das obrigações elencadas neste Termo de Referência, em obediência ao Decreto nº 2493, de 07 de novembro de 2023, https://pmnf.rj.gov.br/paginas-centralizadas/9_64_Legislacoes.html.</w:t>
      </w:r>
    </w:p>
    <w:p w14:paraId="19993796" w14:textId="69105CFC" w:rsidR="007E29CD" w:rsidRPr="007E29CD" w:rsidRDefault="007E29CD" w:rsidP="007E29CD">
      <w:pPr>
        <w:pStyle w:val="PargrafodaLista"/>
        <w:numPr>
          <w:ilvl w:val="2"/>
          <w:numId w:val="2"/>
        </w:numPr>
        <w:shd w:val="clear" w:color="auto" w:fill="FFFFFF"/>
        <w:spacing w:before="240" w:after="120" w:line="276" w:lineRule="auto"/>
        <w:ind w:left="0" w:firstLine="0"/>
        <w:jc w:val="both"/>
        <w:rPr>
          <w:rFonts w:ascii="Arial" w:hAnsi="Arial" w:cs="Arial"/>
          <w:bCs/>
          <w:iCs/>
        </w:rPr>
      </w:pPr>
      <w:r w:rsidRPr="007E29CD">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25F62E4A" w14:textId="737B66FA" w:rsidR="007E29CD" w:rsidRPr="007E29CD" w:rsidRDefault="007E29CD" w:rsidP="007E29CD">
      <w:pPr>
        <w:pStyle w:val="PargrafodaLista"/>
        <w:numPr>
          <w:ilvl w:val="1"/>
          <w:numId w:val="2"/>
        </w:numPr>
        <w:spacing w:before="240" w:after="120" w:line="276" w:lineRule="auto"/>
        <w:ind w:left="0" w:firstLine="0"/>
        <w:jc w:val="both"/>
        <w:rPr>
          <w:rFonts w:ascii="Arial" w:hAnsi="Arial" w:cs="Arial"/>
          <w:bCs/>
          <w:iCs/>
          <w:u w:val="single"/>
        </w:rPr>
      </w:pPr>
      <w:r w:rsidRPr="007E29CD">
        <w:rPr>
          <w:rFonts w:ascii="Arial" w:hAnsi="Arial" w:cs="Arial"/>
          <w:bCs/>
          <w:iCs/>
          <w:u w:val="single"/>
        </w:rPr>
        <w:t>Do pagamento da despesa:</w:t>
      </w:r>
    </w:p>
    <w:p w14:paraId="705AA615" w14:textId="733FD5EA" w:rsidR="007E29CD" w:rsidRPr="007E29CD" w:rsidRDefault="007E29CD" w:rsidP="007E29CD">
      <w:pPr>
        <w:pStyle w:val="PargrafodaLista"/>
        <w:numPr>
          <w:ilvl w:val="2"/>
          <w:numId w:val="2"/>
        </w:numPr>
        <w:spacing w:before="240" w:after="120" w:line="276" w:lineRule="auto"/>
        <w:ind w:left="0" w:firstLine="0"/>
        <w:jc w:val="both"/>
        <w:rPr>
          <w:rFonts w:ascii="Arial" w:hAnsi="Arial" w:cs="Arial"/>
          <w:bCs/>
          <w:iCs/>
        </w:rPr>
      </w:pPr>
      <w:r w:rsidRPr="007E29CD">
        <w:rPr>
          <w:rFonts w:ascii="Arial" w:hAnsi="Arial" w:cs="Arial"/>
          <w:bCs/>
          <w:iCs/>
        </w:rPr>
        <w:lastRenderedPageBreak/>
        <w:t>O pagamento será efetuado conforme estabelecido no Decreto Municipal nº 2493, de 07 de novembro de 2023, desde que as certidões listadas abaixo estejam dentro da validade:</w:t>
      </w:r>
    </w:p>
    <w:p w14:paraId="1BC84270" w14:textId="77777777"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xml:space="preserve">- Negativa de Débitos Trabalhistas; </w:t>
      </w:r>
    </w:p>
    <w:p w14:paraId="6C4B548E" w14:textId="77777777"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xml:space="preserve">- Fazenda Federal – abrange as contribuições sociais; </w:t>
      </w:r>
    </w:p>
    <w:p w14:paraId="4F034E68" w14:textId="77777777"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xml:space="preserve">- FGTS; </w:t>
      </w:r>
    </w:p>
    <w:p w14:paraId="519F39E6" w14:textId="77777777"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xml:space="preserve">- PGE – referente à Dívida Ativa Estadual; </w:t>
      </w:r>
    </w:p>
    <w:p w14:paraId="5FAE5161" w14:textId="77777777"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xml:space="preserve">- Municipal – referente ao ISS e Dívida Ativa; </w:t>
      </w:r>
    </w:p>
    <w:p w14:paraId="60A269FA" w14:textId="462B77C1" w:rsidR="007E29CD" w:rsidRPr="007E29CD" w:rsidRDefault="007E29CD" w:rsidP="007E29CD">
      <w:pPr>
        <w:spacing w:before="240" w:after="120" w:line="276" w:lineRule="auto"/>
        <w:jc w:val="both"/>
        <w:rPr>
          <w:rFonts w:ascii="Arial" w:hAnsi="Arial" w:cs="Arial"/>
          <w:bCs/>
          <w:iCs/>
        </w:rPr>
      </w:pPr>
      <w:r w:rsidRPr="007E29CD">
        <w:rPr>
          <w:rFonts w:ascii="Arial" w:hAnsi="Arial" w:cs="Arial"/>
          <w:bCs/>
          <w:iCs/>
        </w:rPr>
        <w:t>- Estadual CND – referente ao ICMS.</w:t>
      </w:r>
    </w:p>
    <w:p w14:paraId="51C88518" w14:textId="79314340" w:rsidR="007E29CD" w:rsidRPr="007E29CD" w:rsidRDefault="007E29CD" w:rsidP="007E29CD">
      <w:pPr>
        <w:pStyle w:val="PargrafodaLista"/>
        <w:numPr>
          <w:ilvl w:val="2"/>
          <w:numId w:val="2"/>
        </w:numPr>
        <w:spacing w:before="240" w:after="120" w:line="276" w:lineRule="auto"/>
        <w:ind w:left="0" w:firstLine="0"/>
        <w:jc w:val="both"/>
        <w:rPr>
          <w:rFonts w:ascii="Arial" w:hAnsi="Arial" w:cs="Arial"/>
          <w:bCs/>
          <w:iCs/>
        </w:rPr>
      </w:pPr>
      <w:r w:rsidRPr="007E29CD">
        <w:rPr>
          <w:rFonts w:ascii="Arial" w:hAnsi="Arial" w:cs="Arial"/>
          <w:bCs/>
          <w:iCs/>
        </w:rPr>
        <w:t>A Nota Fiscal deverá conter a identificação do Banco, número da Agência e da Conta Corrente, para que possibilite o CONTRATANTE efetuar o pagamento do valor devido;</w:t>
      </w:r>
    </w:p>
    <w:p w14:paraId="14A6CB6E" w14:textId="4201DA51" w:rsidR="007E29CD" w:rsidRPr="007E29CD" w:rsidRDefault="007E29CD" w:rsidP="007E29CD">
      <w:pPr>
        <w:pStyle w:val="PargrafodaLista"/>
        <w:numPr>
          <w:ilvl w:val="2"/>
          <w:numId w:val="2"/>
        </w:numPr>
        <w:spacing w:before="240" w:after="120" w:line="276" w:lineRule="auto"/>
        <w:ind w:left="0" w:firstLine="0"/>
        <w:jc w:val="both"/>
        <w:rPr>
          <w:rFonts w:ascii="Arial" w:hAnsi="Arial" w:cs="Arial"/>
          <w:bCs/>
          <w:iCs/>
        </w:rPr>
      </w:pPr>
      <w:r w:rsidRPr="007E29CD">
        <w:rPr>
          <w:rFonts w:ascii="Arial" w:hAnsi="Arial" w:cs="Arial"/>
          <w:bCs/>
          <w:iCs/>
        </w:rPr>
        <w:t>Na ocorrência de rejeição da(s) Nota(s) Fiscal (s), motivada por erro ou incorreções, o prazo para pagamento estipulado acima passará a ser contado a partir da data de sua reapresentação.</w:t>
      </w:r>
    </w:p>
    <w:p w14:paraId="5DD6E90A" w14:textId="0ECD3254" w:rsidR="007E29CD" w:rsidRPr="007E29CD" w:rsidRDefault="007E29CD" w:rsidP="007E29CD">
      <w:pPr>
        <w:pStyle w:val="PargrafodaLista"/>
        <w:numPr>
          <w:ilvl w:val="2"/>
          <w:numId w:val="2"/>
        </w:numPr>
        <w:spacing w:before="240" w:after="120" w:line="276" w:lineRule="auto"/>
        <w:ind w:left="0" w:firstLine="0"/>
        <w:jc w:val="both"/>
        <w:rPr>
          <w:rFonts w:ascii="Arial" w:hAnsi="Arial" w:cs="Arial"/>
          <w:bCs/>
          <w:iCs/>
        </w:rPr>
      </w:pPr>
      <w:r w:rsidRPr="007E29CD">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18B719AC" w14:textId="0C745E6D" w:rsidR="007E29CD" w:rsidRPr="007E29CD" w:rsidRDefault="007E29CD" w:rsidP="007E29CD">
      <w:pPr>
        <w:pStyle w:val="PargrafodaLista"/>
        <w:numPr>
          <w:ilvl w:val="2"/>
          <w:numId w:val="2"/>
        </w:numPr>
        <w:ind w:left="0" w:firstLine="0"/>
        <w:jc w:val="both"/>
        <w:rPr>
          <w:rFonts w:ascii="Arial" w:hAnsi="Arial" w:cs="Arial"/>
          <w:bCs/>
          <w:iCs/>
        </w:rPr>
      </w:pPr>
      <w:r w:rsidRPr="007E29CD">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37FFB290"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7E29CD"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7E29CD">
        <w:rPr>
          <w:rFonts w:ascii="Arial" w:eastAsiaTheme="majorEastAsia" w:hAnsi="Arial" w:cs="Arial"/>
          <w:b/>
          <w:bCs/>
          <w:lang w:val="pt-BR" w:eastAsia="pt-BR"/>
        </w:rPr>
        <w:t>CLÁUSULA SÉTIMA - REAJUSTE (art. 92, V)</w:t>
      </w:r>
    </w:p>
    <w:p w14:paraId="6348F2F6" w14:textId="77777777" w:rsidR="0097688D" w:rsidRPr="007E29C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E29CD">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E29CD">
        <w:rPr>
          <w:rFonts w:ascii="Arial" w:hAnsi="Arial" w:cs="Arial"/>
          <w:bCs/>
          <w:iCs/>
        </w:rPr>
        <w:t xml:space="preserve">Após o interregno de um ano, e independentemente de pedido do contratado, os preços iniciais serão reajustados, mediante </w:t>
      </w:r>
      <w:r w:rsidRPr="0097688D">
        <w:rPr>
          <w:rFonts w:ascii="Arial" w:hAnsi="Arial" w:cs="Arial"/>
          <w:bCs/>
          <w:iCs/>
        </w:rPr>
        <w:t xml:space="preserve">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7E29C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Explicitamente emitir decisão sobre todas as solicitações e reclamações relacionadas à execução do </w:t>
      </w:r>
      <w:r w:rsidRPr="007E29CD">
        <w:rPr>
          <w:rFonts w:ascii="Arial" w:hAnsi="Arial" w:cs="Arial"/>
          <w:bCs/>
          <w:iCs/>
          <w:lang w:val="pt-BR"/>
        </w:rPr>
        <w:t>presente Contrato, ressalvados os requerimentos manifestamente impertinentes, meramente protelatórios ou de nenhum interesse para a boa execução do ajuste.</w:t>
      </w:r>
    </w:p>
    <w:p w14:paraId="7BEA1B30" w14:textId="53419478" w:rsidR="00A27B94" w:rsidRPr="007E29C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E29CD">
        <w:rPr>
          <w:rFonts w:ascii="Arial" w:hAnsi="Arial" w:cs="Arial"/>
          <w:bCs/>
          <w:iCs/>
          <w:lang w:val="pt-BR"/>
        </w:rPr>
        <w:t xml:space="preserve"> A Administração terá o prazo de </w:t>
      </w:r>
      <w:r w:rsidRPr="007E29CD">
        <w:rPr>
          <w:rFonts w:ascii="Arial" w:hAnsi="Arial" w:cs="Arial"/>
          <w:bCs/>
          <w:iCs/>
        </w:rPr>
        <w:t>1 (um) mês</w:t>
      </w:r>
      <w:r w:rsidRPr="007E29C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7E29C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E29CD">
        <w:rPr>
          <w:rFonts w:ascii="Arial" w:hAnsi="Arial" w:cs="Arial"/>
          <w:bCs/>
          <w:iCs/>
          <w:lang w:val="pt-BR"/>
        </w:rPr>
        <w:lastRenderedPageBreak/>
        <w:t xml:space="preserve">Responder eventuais pedidos de reestabelecimento do equilíbrio econômico-financeiro feitos pelo contratado no prazo máximo de </w:t>
      </w:r>
      <w:r w:rsidRPr="007E29CD">
        <w:rPr>
          <w:rFonts w:ascii="Arial" w:hAnsi="Arial" w:cs="Arial"/>
          <w:bCs/>
          <w:iCs/>
        </w:rPr>
        <w:t>1 (um) mês</w:t>
      </w:r>
      <w:r w:rsidRPr="007E29CD">
        <w:rPr>
          <w:rFonts w:ascii="Arial" w:hAnsi="Arial" w:cs="Arial"/>
          <w:bCs/>
          <w:iCs/>
          <w:lang w:val="pt-BR"/>
        </w:rPr>
        <w:t>.</w:t>
      </w:r>
    </w:p>
    <w:p w14:paraId="15218468" w14:textId="77777777" w:rsidR="00EA6E3C" w:rsidRPr="007E29CD"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E29CD">
        <w:rPr>
          <w:rFonts w:ascii="Arial" w:hAnsi="Arial" w:cs="Arial"/>
          <w:bCs/>
          <w:iCs/>
          <w:lang w:val="pt-BR"/>
        </w:rPr>
        <w:t xml:space="preserve">Comunicar o Contratado na hipótese de posterior alteração do projeto pelo Contratante, no caso </w:t>
      </w:r>
      <w:hyperlink r:id="rId11" w:anchor="art93§2" w:history="1">
        <w:r w:rsidRPr="007E29CD">
          <w:rPr>
            <w:rFonts w:ascii="Arial" w:hAnsi="Arial" w:cs="Arial"/>
            <w:bCs/>
            <w:iCs/>
            <w:lang w:val="pt-BR"/>
          </w:rPr>
          <w:t>do art. 93, §2º, da Lei nº 14.133, de 2021</w:t>
        </w:r>
      </w:hyperlink>
      <w:r w:rsidRPr="007E29CD">
        <w:rPr>
          <w:rFonts w:ascii="Arial" w:hAnsi="Arial" w:cs="Arial"/>
          <w:bCs/>
          <w:iCs/>
          <w:lang w:val="pt-BR"/>
        </w:rPr>
        <w:t>.</w:t>
      </w:r>
    </w:p>
    <w:p w14:paraId="5080FE7D" w14:textId="0F5CB66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E29CD">
        <w:rPr>
          <w:rFonts w:ascii="Arial" w:hAnsi="Arial" w:cs="Arial"/>
          <w:bCs/>
          <w:iCs/>
          <w:lang w:val="pt-BR"/>
        </w:rPr>
        <w:t xml:space="preserve">A Administração não responderá por </w:t>
      </w:r>
      <w:r w:rsidRPr="00A27B94">
        <w:rPr>
          <w:rFonts w:ascii="Arial" w:hAnsi="Arial" w:cs="Arial"/>
          <w:bCs/>
          <w:iCs/>
          <w:lang w:val="pt-BR"/>
        </w:rPr>
        <w:t>quaisquer 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05AD90BF" w:rsidR="008743A2"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6E969A2B" w14:textId="77777777" w:rsidR="007E29CD" w:rsidRPr="00DC6FCA" w:rsidRDefault="007E29CD" w:rsidP="007E29CD">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77BD4BC" w14:textId="50B1555D" w:rsidR="00E81BCB" w:rsidRPr="009327CB" w:rsidRDefault="00E81BCB" w:rsidP="00807004">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p>
    <w:p w14:paraId="41499222"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As partes deverão cumprir a </w:t>
      </w:r>
      <w:hyperlink r:id="rId19" w:history="1">
        <w:r w:rsidRPr="007E29CD">
          <w:rPr>
            <w:rFonts w:ascii="Arial" w:hAnsi="Arial" w:cs="Arial"/>
            <w:bCs/>
            <w:iCs/>
            <w:lang w:val="pt-BR"/>
          </w:rPr>
          <w:t>Lei nº 13.709, de 14 de agosto de 2018 (LGPD)</w:t>
        </w:r>
      </w:hyperlink>
      <w:r w:rsidRPr="007E29CD">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Os dados obtidos somente poderão ser utilizados para as finalidades que justificaram seu acesso e de acordo com a boa-fé e com os princípios do </w:t>
      </w:r>
      <w:hyperlink r:id="rId20" w:anchor="art6" w:history="1">
        <w:r w:rsidRPr="007E29CD">
          <w:rPr>
            <w:rFonts w:ascii="Arial" w:hAnsi="Arial" w:cs="Arial"/>
            <w:bCs/>
            <w:iCs/>
            <w:lang w:val="pt-BR"/>
          </w:rPr>
          <w:t>art. 6º da LGPD</w:t>
        </w:r>
      </w:hyperlink>
      <w:r w:rsidRPr="007E29CD">
        <w:rPr>
          <w:rFonts w:ascii="Arial" w:hAnsi="Arial" w:cs="Arial"/>
          <w:bCs/>
          <w:iCs/>
          <w:lang w:val="pt-BR"/>
        </w:rPr>
        <w:t xml:space="preserve">. </w:t>
      </w:r>
    </w:p>
    <w:p w14:paraId="1BDEF7CE"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É vedado o compartilhamento com terceiros dos dados obtidos fora das hipóteses permitidas em Lei.</w:t>
      </w:r>
    </w:p>
    <w:p w14:paraId="53D54A50"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Terminado o tratamento dos dados nos termos do </w:t>
      </w:r>
      <w:hyperlink r:id="rId21" w:anchor="art15" w:history="1">
        <w:r w:rsidRPr="007E29CD">
          <w:rPr>
            <w:rFonts w:ascii="Arial" w:hAnsi="Arial" w:cs="Arial"/>
            <w:bCs/>
            <w:iCs/>
            <w:lang w:val="pt-BR"/>
          </w:rPr>
          <w:t>art. 15 da LGPD</w:t>
        </w:r>
      </w:hyperlink>
      <w:r w:rsidRPr="007E29CD">
        <w:rPr>
          <w:rFonts w:ascii="Arial" w:hAnsi="Arial" w:cs="Arial"/>
          <w:bCs/>
          <w:iCs/>
          <w:lang w:val="pt-BR"/>
        </w:rPr>
        <w:t xml:space="preserve">, é dever do contratado eliminá-los, com exceção das hipóteses do </w:t>
      </w:r>
      <w:hyperlink r:id="rId22" w:anchor="art16" w:history="1">
        <w:r w:rsidRPr="007E29CD">
          <w:rPr>
            <w:rFonts w:ascii="Arial" w:hAnsi="Arial" w:cs="Arial"/>
            <w:bCs/>
            <w:iCs/>
            <w:lang w:val="pt-BR"/>
          </w:rPr>
          <w:t>art. 16 da LGPD</w:t>
        </w:r>
      </w:hyperlink>
      <w:r w:rsidRPr="007E29CD">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lastRenderedPageBreak/>
        <w:t>O Contratado deverá exigir de suboperadores e subcontratados o cumprimento dos deveres da presente cláusula, permanecendo integralmente responsável por garantir sua observância.</w:t>
      </w:r>
    </w:p>
    <w:p w14:paraId="2C71F641"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7E29CD">
          <w:rPr>
            <w:rFonts w:ascii="Arial" w:hAnsi="Arial" w:cs="Arial"/>
            <w:bCs/>
            <w:iCs/>
            <w:lang w:val="pt-BR"/>
          </w:rPr>
          <w:t>LGPD, art. 37</w:t>
        </w:r>
      </w:hyperlink>
      <w:r w:rsidRPr="007E29CD">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7E29CD" w:rsidRDefault="00E81BCB" w:rsidP="00807004">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7E29CD">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7E29CD"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E29CD">
        <w:rPr>
          <w:rFonts w:ascii="Arial" w:hAnsi="Arial" w:cs="Arial"/>
          <w:bCs/>
          <w:iCs/>
          <w:lang w:val="pt-BR"/>
        </w:rPr>
        <w:t xml:space="preserve">Os contratos e convênios de que trata o </w:t>
      </w:r>
      <w:hyperlink r:id="rId24" w:anchor="art26§1" w:history="1">
        <w:r w:rsidRPr="007E29CD">
          <w:rPr>
            <w:rFonts w:ascii="Arial" w:hAnsi="Arial" w:cs="Arial"/>
            <w:bCs/>
            <w:iCs/>
            <w:lang w:val="pt-BR"/>
          </w:rPr>
          <w:t>§ 1º do art. 26 da LGPD</w:t>
        </w:r>
      </w:hyperlink>
      <w:r w:rsidRPr="007E29CD">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5"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6"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7"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8"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9"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0"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1"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2"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lastRenderedPageBreak/>
        <w:t>Antes da aplicação da multa será facultada a defesa do interessado no prazo de 15 (quinze) dias úteis, contado da data de sua intimação</w:t>
      </w:r>
      <w:r w:rsidRPr="00E04B75">
        <w:t xml:space="preserve"> (</w:t>
      </w:r>
      <w:hyperlink r:id="rId33"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4" w:anchor="art156§8" w:history="1">
        <w:r w:rsidRPr="00E04B75">
          <w:rPr>
            <w:rStyle w:val="Hyperlink"/>
          </w:rPr>
          <w:t>art. 156, §8º, da Lei nº 14.133, de 2021</w:t>
        </w:r>
      </w:hyperlink>
      <w:r w:rsidRPr="00E04B75">
        <w:t>).</w:t>
      </w:r>
    </w:p>
    <w:p w14:paraId="6163F99C" w14:textId="5D12D559" w:rsidR="00370B10" w:rsidRPr="00DE2273" w:rsidRDefault="00370B10" w:rsidP="00807004">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5"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6"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7"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8"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9"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40"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 xml:space="preserve">O Contratante deverá, no prazo máximo de 15 (quinze) dias úteis, contado da data de aplicação da sanção, informar e manter atualizados os dados relativos às sanções por ela aplicadas, para fins de publicidade no Cadastro Nacional de Empresas Inidôneas e </w:t>
      </w:r>
      <w:r w:rsidRPr="00DE2273">
        <w:rPr>
          <w:rFonts w:ascii="Arial" w:eastAsia="Arial" w:hAnsi="Arial" w:cs="Arial"/>
        </w:rPr>
        <w:lastRenderedPageBreak/>
        <w:t>Suspensas (Ceis) e no Cadastro Nacional de Empresas Punidas (Cnep), instituídos no âmbito do Poder Executivo Federal.</w:t>
      </w:r>
      <w:r w:rsidRPr="00E04B75">
        <w:t xml:space="preserve"> (</w:t>
      </w:r>
      <w:hyperlink r:id="rId41"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2"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3" w:history="1">
        <w:r w:rsidRPr="00E04B75">
          <w:rPr>
            <w:rStyle w:val="Hyperlink"/>
          </w:rPr>
          <w:t>Normativa SEGES/ME nº 26, de 13 de abril de 2022</w:t>
        </w:r>
      </w:hyperlink>
      <w:r w:rsidRPr="00E04B75">
        <w:t xml:space="preserve">. </w:t>
      </w:r>
    </w:p>
    <w:p w14:paraId="5ACB71AD" w14:textId="05182C3C"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4"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5"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6"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lastRenderedPageBreak/>
        <w:t>A extinção do contrato não configura óbice para o reconhecimento do desequilíbrio econômico-financeiro, hipótese em que será concedida indenização por meio de termo indenizatório</w:t>
      </w:r>
      <w:r w:rsidRPr="00ED1360">
        <w:t xml:space="preserve"> (</w:t>
      </w:r>
      <w:hyperlink r:id="rId47"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862C6FB" w:rsidR="002E43FD" w:rsidRPr="007E29CD" w:rsidRDefault="002E43FD" w:rsidP="00807004">
      <w:pPr>
        <w:pStyle w:val="Nivel01"/>
        <w:numPr>
          <w:ilvl w:val="0"/>
          <w:numId w:val="2"/>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8" w:anchor="art92" w:history="1">
        <w:r w:rsidRPr="002E43FD">
          <w:rPr>
            <w:rStyle w:val="Hyperlink"/>
            <w:sz w:val="22"/>
            <w:szCs w:val="22"/>
          </w:rPr>
          <w:t>art. 92, VIII</w:t>
        </w:r>
      </w:hyperlink>
      <w:r w:rsidRPr="002E43FD">
        <w:rPr>
          <w:sz w:val="22"/>
          <w:szCs w:val="22"/>
        </w:rPr>
        <w:t>)</w:t>
      </w:r>
    </w:p>
    <w:p w14:paraId="37803BBB" w14:textId="77777777" w:rsidR="007E29CD" w:rsidRPr="007E29CD" w:rsidRDefault="007E29CD" w:rsidP="007E29CD">
      <w:pPr>
        <w:widowControl/>
        <w:numPr>
          <w:ilvl w:val="1"/>
          <w:numId w:val="2"/>
        </w:numPr>
        <w:suppressAutoHyphens/>
        <w:autoSpaceDE/>
        <w:autoSpaceDN/>
        <w:spacing w:after="120" w:line="276" w:lineRule="auto"/>
        <w:ind w:left="0" w:firstLine="0"/>
        <w:jc w:val="both"/>
        <w:rPr>
          <w:rFonts w:ascii="Arial" w:eastAsia="Arial" w:hAnsi="Arial" w:cs="Arial"/>
        </w:rPr>
      </w:pPr>
      <w:r w:rsidRPr="007E29CD">
        <w:rPr>
          <w:rFonts w:ascii="Arial" w:eastAsia="Arial" w:hAnsi="Arial" w:cs="Arial"/>
        </w:rPr>
        <w:t>As despesas decorrentes da presente contratação correrão à conta de recursos específicos consignados no Orçamento do Município, na forma abaixo:</w:t>
      </w:r>
    </w:p>
    <w:tbl>
      <w:tblPr>
        <w:tblStyle w:val="Style81"/>
        <w:tblW w:w="897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5"/>
        <w:gridCol w:w="2685"/>
        <w:gridCol w:w="1890"/>
        <w:gridCol w:w="1431"/>
      </w:tblGrid>
      <w:tr w:rsidR="007E29CD" w:rsidRPr="007E29CD" w14:paraId="7F0A951F" w14:textId="77777777" w:rsidTr="004C7139">
        <w:trPr>
          <w:jc w:val="center"/>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0469B"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Órgão/Unidade Orçamentária</w:t>
            </w:r>
          </w:p>
        </w:tc>
        <w:tc>
          <w:tcPr>
            <w:tcW w:w="2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181B3"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Programa de Trabalho</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797E41"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Fonte de Recursos</w:t>
            </w: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ED4F5D"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Natureza da Despesa</w:t>
            </w:r>
          </w:p>
        </w:tc>
      </w:tr>
      <w:tr w:rsidR="007E29CD" w:rsidRPr="007E29CD" w14:paraId="00429BD1" w14:textId="77777777" w:rsidTr="004C7139">
        <w:trPr>
          <w:jc w:val="center"/>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07CD82"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Secretaria de Turismo</w:t>
            </w:r>
          </w:p>
        </w:tc>
        <w:tc>
          <w:tcPr>
            <w:tcW w:w="2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3C8D2"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58.001.23.695.0036.2.327</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BFCE6"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1F0E0"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33.90.39-57</w:t>
            </w:r>
          </w:p>
        </w:tc>
      </w:tr>
      <w:tr w:rsidR="007E29CD" w:rsidRPr="007E29CD" w14:paraId="57D3F2CD" w14:textId="77777777" w:rsidTr="004C7139">
        <w:trPr>
          <w:jc w:val="center"/>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05D9F"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Secretaria de Cultura</w:t>
            </w: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9F45530" w14:textId="77777777" w:rsidR="007E29CD" w:rsidRPr="007E29CD" w:rsidRDefault="007E29CD" w:rsidP="007E29CD">
            <w:pPr>
              <w:tabs>
                <w:tab w:val="left" w:pos="510"/>
              </w:tabs>
              <w:spacing w:before="120" w:after="120"/>
              <w:jc w:val="center"/>
              <w:rPr>
                <w:rFonts w:ascii="Arial" w:eastAsia="Arial" w:hAnsi="Arial" w:cs="Arial"/>
              </w:rPr>
            </w:pPr>
            <w:r w:rsidRPr="007E29CD">
              <w:rPr>
                <w:rFonts w:ascii="Arial" w:eastAsia="Arial" w:hAnsi="Arial" w:cs="Arial"/>
              </w:rPr>
              <w:t>18.001.13.392.0041.2.112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D74CBA9" w14:textId="77777777" w:rsidR="007E29CD" w:rsidRPr="007E29CD" w:rsidRDefault="007E29CD" w:rsidP="007E29CD">
            <w:pPr>
              <w:spacing w:after="120"/>
              <w:jc w:val="center"/>
              <w:rPr>
                <w:rFonts w:ascii="Arial" w:eastAsia="Arial" w:hAnsi="Arial" w:cs="Arial"/>
              </w:rPr>
            </w:pPr>
            <w:r w:rsidRPr="007E29CD">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B611C2" w14:textId="77777777" w:rsidR="007E29CD" w:rsidRPr="007E29CD" w:rsidRDefault="007E29CD" w:rsidP="007E29CD">
            <w:pPr>
              <w:spacing w:after="120"/>
              <w:jc w:val="center"/>
              <w:rPr>
                <w:rFonts w:ascii="Arial" w:eastAsia="Arial" w:hAnsi="Arial" w:cs="Arial"/>
              </w:rPr>
            </w:pPr>
            <w:r w:rsidRPr="007E29CD">
              <w:rPr>
                <w:rFonts w:ascii="Arial" w:eastAsia="Arial" w:hAnsi="Arial" w:cs="Arial"/>
              </w:rPr>
              <w:t>3.3.90.39-57</w:t>
            </w:r>
          </w:p>
        </w:tc>
      </w:tr>
      <w:tr w:rsidR="007E29CD" w:rsidRPr="007E29CD" w14:paraId="4653D4D8" w14:textId="77777777" w:rsidTr="004C7139">
        <w:trPr>
          <w:jc w:val="center"/>
        </w:trPr>
        <w:tc>
          <w:tcPr>
            <w:tcW w:w="29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68C91" w14:textId="77777777" w:rsidR="007E29CD" w:rsidRPr="007E29CD" w:rsidRDefault="007E29CD" w:rsidP="007E29CD">
            <w:pPr>
              <w:spacing w:after="120" w:line="276" w:lineRule="auto"/>
              <w:jc w:val="center"/>
              <w:rPr>
                <w:rFonts w:ascii="Arial" w:eastAsia="Arial" w:hAnsi="Arial" w:cs="Arial"/>
              </w:rPr>
            </w:pPr>
            <w:r w:rsidRPr="007E29CD">
              <w:rPr>
                <w:rFonts w:ascii="Arial" w:eastAsia="Arial" w:hAnsi="Arial" w:cs="Arial"/>
              </w:rPr>
              <w:t>Secretaria de Esportes e Lazer</w:t>
            </w:r>
          </w:p>
        </w:tc>
        <w:tc>
          <w:tcPr>
            <w:tcW w:w="2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1B9EAB" w14:textId="77777777" w:rsidR="007E29CD" w:rsidRPr="007E29CD" w:rsidRDefault="007E29CD" w:rsidP="007E29CD">
            <w:pPr>
              <w:tabs>
                <w:tab w:val="left" w:pos="510"/>
              </w:tabs>
              <w:spacing w:before="120" w:after="120"/>
              <w:jc w:val="center"/>
              <w:rPr>
                <w:rFonts w:ascii="Arial" w:eastAsia="Arial" w:hAnsi="Arial" w:cs="Arial"/>
              </w:rPr>
            </w:pPr>
            <w:r w:rsidRPr="007E29CD">
              <w:rPr>
                <w:rFonts w:ascii="Arial" w:eastAsia="Arial" w:hAnsi="Arial" w:cs="Arial"/>
              </w:rPr>
              <w:t>20.001.27.812.0045.2.120</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2FA09" w14:textId="77777777" w:rsidR="007E29CD" w:rsidRPr="007E29CD" w:rsidRDefault="007E29CD" w:rsidP="007E29CD">
            <w:pPr>
              <w:spacing w:after="120"/>
              <w:jc w:val="center"/>
              <w:rPr>
                <w:rFonts w:ascii="Arial" w:eastAsia="Arial" w:hAnsi="Arial" w:cs="Arial"/>
              </w:rPr>
            </w:pPr>
            <w:r w:rsidRPr="007E29CD">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F051C" w14:textId="77777777" w:rsidR="007E29CD" w:rsidRPr="007E29CD" w:rsidRDefault="007E29CD" w:rsidP="007E29CD">
            <w:pPr>
              <w:spacing w:after="120"/>
              <w:jc w:val="center"/>
              <w:rPr>
                <w:rFonts w:ascii="Arial" w:eastAsia="Arial" w:hAnsi="Arial" w:cs="Arial"/>
              </w:rPr>
            </w:pPr>
            <w:r w:rsidRPr="007E29CD">
              <w:rPr>
                <w:rFonts w:ascii="Arial" w:eastAsia="Arial" w:hAnsi="Arial" w:cs="Arial"/>
              </w:rPr>
              <w:t>3.3.90.39-57</w:t>
            </w:r>
          </w:p>
        </w:tc>
      </w:tr>
    </w:tbl>
    <w:p w14:paraId="19193BDC" w14:textId="77777777" w:rsidR="007E29CD" w:rsidRPr="007E29CD" w:rsidRDefault="007E29CD" w:rsidP="007E29CD">
      <w:pPr>
        <w:spacing w:after="120" w:line="276" w:lineRule="auto"/>
        <w:jc w:val="both"/>
        <w:rPr>
          <w:rFonts w:ascii="Arial" w:eastAsia="Arial" w:hAnsi="Arial" w:cs="Arial"/>
        </w:rPr>
      </w:pPr>
    </w:p>
    <w:p w14:paraId="781A3525" w14:textId="0A21F6BD" w:rsidR="007E29CD" w:rsidRPr="007E29CD" w:rsidRDefault="007E29CD" w:rsidP="007E29CD">
      <w:pPr>
        <w:spacing w:after="120" w:line="276" w:lineRule="auto"/>
        <w:jc w:val="both"/>
        <w:rPr>
          <w:rFonts w:ascii="Arial" w:eastAsia="Arial" w:hAnsi="Arial" w:cs="Arial"/>
        </w:rPr>
      </w:pPr>
      <w:r w:rsidRPr="007E29CD">
        <w:rPr>
          <w:rFonts w:ascii="Arial" w:eastAsia="Arial" w:hAnsi="Arial" w:cs="Arial"/>
        </w:rPr>
        <w:t>14.2 A dotação relativa aos exercícios financeiros subsequentes será indicada após aprovação da Lei Orçamentária respectiva e liberação dos créditos correspondentes, mediante apostilamento.</w:t>
      </w:r>
    </w:p>
    <w:p w14:paraId="120C7BB4" w14:textId="03720627"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9" w:anchor="art124" w:history="1">
        <w:r>
          <w:rPr>
            <w:rStyle w:val="Hyperlink"/>
          </w:rPr>
          <w:t>arts. 124 e seguintes da Lei nº 14.133, de 2021</w:t>
        </w:r>
      </w:hyperlink>
      <w:r>
        <w:t>.</w:t>
      </w:r>
    </w:p>
    <w:p w14:paraId="074A5C54"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9A5E521" w14:textId="7AE7AC10" w:rsidR="002E43FD" w:rsidRPr="002E43FD" w:rsidRDefault="00D90EA5" w:rsidP="00136FC8">
      <w:pPr>
        <w:pStyle w:val="PargrafodaLista"/>
        <w:widowControl/>
        <w:numPr>
          <w:ilvl w:val="1"/>
          <w:numId w:val="2"/>
        </w:numPr>
        <w:tabs>
          <w:tab w:val="left" w:pos="426"/>
        </w:tabs>
        <w:autoSpaceDE/>
        <w:autoSpaceDN/>
        <w:spacing w:before="120" w:after="120" w:line="276" w:lineRule="auto"/>
        <w:ind w:left="0" w:firstLine="0"/>
        <w:jc w:val="both"/>
      </w:pPr>
      <w:r w:rsidRPr="007E29CD">
        <w:rPr>
          <w:rFonts w:ascii="Arial" w:eastAsia="Arial" w:hAnsi="Arial" w:cs="Arial"/>
        </w:rPr>
        <w:t xml:space="preserve">Registros que não caracterizam alteração do contrato podem ser realizados por simples apostila, dispensada a celebração de termo aditivo, na forma do </w:t>
      </w:r>
      <w:hyperlink r:id="rId50" w:anchor="art136" w:history="1">
        <w:r w:rsidRPr="00D90EA5">
          <w:rPr>
            <w:rStyle w:val="Hyperlink"/>
          </w:rPr>
          <w:t>art. 136 da Lei nº 14.133, de 2021</w:t>
        </w:r>
      </w:hyperlink>
      <w:r w:rsidRPr="00D90EA5">
        <w:t>.</w:t>
      </w:r>
      <w:r w:rsidR="005F5E8D" w:rsidRPr="007E29CD">
        <w:rPr>
          <w:rFonts w:ascii="Arial" w:hAnsi="Arial" w:cs="Arial"/>
        </w:rPr>
        <w:t xml:space="preserve"> </w:t>
      </w:r>
    </w:p>
    <w:p w14:paraId="0217FC09" w14:textId="77777777" w:rsidR="00885E3B" w:rsidRPr="00E04B75" w:rsidRDefault="00885E3B" w:rsidP="00807004">
      <w:pPr>
        <w:pStyle w:val="Nivel010"/>
        <w:numPr>
          <w:ilvl w:val="0"/>
          <w:numId w:val="2"/>
        </w:numPr>
        <w:rPr>
          <w:color w:val="FFFFFF" w:themeColor="background1"/>
          <w:sz w:val="22"/>
          <w:szCs w:val="22"/>
        </w:rPr>
      </w:pPr>
      <w:r w:rsidRPr="00E04B75">
        <w:rPr>
          <w:sz w:val="22"/>
          <w:szCs w:val="22"/>
        </w:rPr>
        <w:lastRenderedPageBreak/>
        <w:t>CLÁUSULA DÉCIMA SEXTA – PUBLICAÇÃO</w:t>
      </w:r>
    </w:p>
    <w:p w14:paraId="6D2C9166" w14:textId="4271B3D6" w:rsidR="00885E3B" w:rsidRDefault="00885E3B" w:rsidP="00807004">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1"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2" w:anchor="art8§2" w:history="1">
        <w:r w:rsidRPr="00C80C6C">
          <w:rPr>
            <w:rStyle w:val="Hyperlink"/>
          </w:rPr>
          <w:t>art. 8º, §2º, da Lei n. 12.527, de 2011</w:t>
        </w:r>
      </w:hyperlink>
      <w:r w:rsidRPr="00C80C6C">
        <w:t xml:space="preserve">, c/c </w:t>
      </w:r>
      <w:hyperlink r:id="rId53"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07004">
      <w:pPr>
        <w:pStyle w:val="Nivel010"/>
        <w:numPr>
          <w:ilvl w:val="0"/>
          <w:numId w:val="2"/>
        </w:numPr>
        <w:rPr>
          <w:sz w:val="22"/>
          <w:szCs w:val="22"/>
        </w:rPr>
      </w:pPr>
      <w:r w:rsidRPr="00C80C6C">
        <w:rPr>
          <w:sz w:val="22"/>
          <w:szCs w:val="22"/>
        </w:rPr>
        <w:t xml:space="preserve">- </w:t>
      </w:r>
      <w:r w:rsidR="00885E3B" w:rsidRPr="00C80C6C">
        <w:rPr>
          <w:sz w:val="22"/>
          <w:szCs w:val="22"/>
        </w:rPr>
        <w:t>CLÁUSULA DÉCIMA SÉTIMA– FORO (</w:t>
      </w:r>
      <w:hyperlink r:id="rId54"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807004">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even" r:id="rId55"/>
      <w:headerReference w:type="default" r:id="rId56"/>
      <w:footerReference w:type="even" r:id="rId57"/>
      <w:footerReference w:type="default" r:id="rId58"/>
      <w:headerReference w:type="first" r:id="rId59"/>
      <w:footerReference w:type="first" r:id="rId60"/>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5B671" w14:textId="77777777" w:rsidR="00BA6E64" w:rsidRDefault="00BA6E64">
      <w:r>
        <w:separator/>
      </w:r>
    </w:p>
  </w:endnote>
  <w:endnote w:type="continuationSeparator" w:id="0">
    <w:p w14:paraId="48DB7F02" w14:textId="77777777" w:rsidR="00BA6E64" w:rsidRDefault="00BA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A1B9" w14:textId="77777777" w:rsidR="00035887" w:rsidRDefault="0003588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02B4B4E9" w14:textId="77777777" w:rsidR="00035887" w:rsidRDefault="00035887" w:rsidP="00035887">
    <w:pPr>
      <w:pStyle w:val="Rodap"/>
      <w:jc w:val="center"/>
      <w:rPr>
        <w:rFonts w:ascii="Arial" w:eastAsia="Tahoma" w:hAnsi="Arial" w:cs="Arial"/>
        <w:color w:val="000000"/>
        <w:sz w:val="18"/>
        <w:szCs w:val="18"/>
        <w:lang w:val="pt-BR" w:eastAsia="pt-PT"/>
      </w:rPr>
    </w:pPr>
    <w:r>
      <w:rPr>
        <w:rFonts w:ascii="Arial" w:hAnsi="Arial" w:cs="Arial"/>
        <w:color w:val="000000"/>
        <w:sz w:val="18"/>
        <w:szCs w:val="18"/>
        <w:lang w:val="pt-BR"/>
      </w:rPr>
      <w:t>Comissão de Contratação - Prefeitura Municipal de Nova Friburgo/RJ</w:t>
    </w:r>
  </w:p>
  <w:p w14:paraId="698CFDC6" w14:textId="77777777" w:rsidR="00035887" w:rsidRDefault="00035887" w:rsidP="00035887">
    <w:pPr>
      <w:pStyle w:val="Rodap"/>
      <w:jc w:val="center"/>
      <w:rPr>
        <w:rFonts w:ascii="Arial" w:hAnsi="Arial" w:cs="Arial"/>
        <w:color w:val="000000"/>
        <w:sz w:val="18"/>
        <w:szCs w:val="18"/>
        <w:lang w:val="pt-BR"/>
      </w:rPr>
    </w:pPr>
    <w:r>
      <w:rPr>
        <w:rFonts w:ascii="Arial" w:hAnsi="Arial" w:cs="Arial"/>
        <w:color w:val="000000"/>
        <w:sz w:val="18"/>
        <w:szCs w:val="18"/>
        <w:lang w:val="pt-BR"/>
      </w:rPr>
      <w:t>Avenida Alberto Braune, nº 224, sobreloja - Centro</w:t>
    </w:r>
  </w:p>
  <w:p w14:paraId="60F0786F" w14:textId="77777777" w:rsidR="00035887" w:rsidRDefault="00035887" w:rsidP="00035887">
    <w:pPr>
      <w:pStyle w:val="Rodap"/>
      <w:jc w:val="center"/>
      <w:rPr>
        <w:rFonts w:ascii="Arial" w:hAnsi="Arial" w:cs="Arial"/>
        <w:color w:val="000000"/>
        <w:sz w:val="18"/>
        <w:szCs w:val="18"/>
        <w:lang w:val="pt-BR"/>
      </w:rPr>
    </w:pPr>
    <w:r>
      <w:rPr>
        <w:rFonts w:ascii="Arial" w:hAnsi="Arial" w:cs="Arial"/>
        <w:color w:val="000000"/>
        <w:sz w:val="18"/>
        <w:szCs w:val="18"/>
        <w:lang w:val="pt-BR"/>
      </w:rPr>
      <w:t>Telefone (22) 2525-9100 - Ramais 292 ou 350</w:t>
    </w:r>
  </w:p>
  <w:p w14:paraId="04493390" w14:textId="77777777" w:rsidR="00035887" w:rsidRDefault="00035887" w:rsidP="00035887">
    <w:pPr>
      <w:pStyle w:val="Rodap"/>
      <w:jc w:val="center"/>
      <w:rPr>
        <w:rFonts w:ascii="Arial" w:hAnsi="Arial" w:cs="Arial"/>
        <w:color w:val="000000"/>
        <w:sz w:val="18"/>
        <w:szCs w:val="18"/>
        <w:lang w:val="pt-BR"/>
      </w:rPr>
    </w:pPr>
    <w:r>
      <w:rPr>
        <w:rFonts w:ascii="Arial" w:hAnsi="Arial" w:cs="Arial"/>
        <w:color w:val="000000"/>
        <w:sz w:val="18"/>
        <w:szCs w:val="18"/>
        <w:lang w:val="pt-BR"/>
      </w:rPr>
      <w:t>E-mail: licitacao.cplpmnf@gmail.com</w:t>
    </w: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72CA5" w14:textId="77777777" w:rsidR="00035887" w:rsidRDefault="0003588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20AD2" w14:textId="77777777" w:rsidR="00BA6E64" w:rsidRDefault="00BA6E64">
      <w:r>
        <w:separator/>
      </w:r>
    </w:p>
  </w:footnote>
  <w:footnote w:type="continuationSeparator" w:id="0">
    <w:p w14:paraId="5A8C9E9B" w14:textId="77777777" w:rsidR="00BA6E64" w:rsidRDefault="00BA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AC301" w14:textId="77777777" w:rsidR="00035887" w:rsidRDefault="0003588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4" w:name="_Hlk163549712"/>
    <w:bookmarkStart w:id="5"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4"/>
    <w:bookmarkEnd w:id="5"/>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ED84" w14:textId="77777777" w:rsidR="00035887" w:rsidRDefault="0003588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E29AB5A"/>
    <w:multiLevelType w:val="multilevel"/>
    <w:tmpl w:val="5E29AB5A"/>
    <w:lvl w:ilvl="0">
      <w:start w:val="12"/>
      <w:numFmt w:val="decimal"/>
      <w:lvlText w:val="%1."/>
      <w:lvlJc w:val="left"/>
      <w:pPr>
        <w:ind w:left="0" w:firstLine="0"/>
      </w:pPr>
    </w:lvl>
    <w:lvl w:ilvl="1">
      <w:start w:val="1"/>
      <w:numFmt w:val="decimal"/>
      <w:lvlText w:val="%1.%2"/>
      <w:lvlJc w:val="left"/>
      <w:pPr>
        <w:ind w:left="0" w:firstLine="0"/>
      </w:pPr>
      <w:rPr>
        <w:rFonts w:ascii="Calibri" w:eastAsia="Arial" w:hAnsi="Calibri" w:cs="Calibri" w:hint="default"/>
        <w:b/>
        <w:bCs w:val="0"/>
        <w:sz w:val="22"/>
        <w:szCs w:val="22"/>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9"/>
  </w:num>
  <w:num w:numId="7">
    <w:abstractNumId w:val="3"/>
  </w:num>
  <w:num w:numId="8">
    <w:abstractNumId w:val="7"/>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35887"/>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38A"/>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28D"/>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D3698"/>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0E4C"/>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29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865A0"/>
    <w:rsid w:val="00B92016"/>
    <w:rsid w:val="00B923BE"/>
    <w:rsid w:val="00B92721"/>
    <w:rsid w:val="00BA1327"/>
    <w:rsid w:val="00BA2AC6"/>
    <w:rsid w:val="00BA68EF"/>
    <w:rsid w:val="00BA6E64"/>
    <w:rsid w:val="00BB0633"/>
    <w:rsid w:val="00BB0C6C"/>
    <w:rsid w:val="00BB36D3"/>
    <w:rsid w:val="00BB3B8F"/>
    <w:rsid w:val="00BB408F"/>
    <w:rsid w:val="00BB527C"/>
    <w:rsid w:val="00BB61D2"/>
    <w:rsid w:val="00BD4347"/>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1667"/>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table" w:customStyle="1" w:styleId="Style81">
    <w:name w:val="_Style 81"/>
    <w:basedOn w:val="TableNormal"/>
    <w:qFormat/>
    <w:rsid w:val="007E29CD"/>
    <w:rPr>
      <w:rFonts w:ascii="Times New Roman" w:eastAsia="SimSun" w:hAnsi="Times New Roman" w:cs="Times New Roman"/>
    </w:rPr>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14682595">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2/decreto/d7724.htm" TargetMode="External"/><Relationship Id="rId58"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61" Type="http://schemas.openxmlformats.org/officeDocument/2006/relationships/fontTable" Target="fontTable.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1/lei/l12527.htm" TargetMode="External"/><Relationship Id="rId60"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26-de-13-de-abril-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Pages>
  <Words>6530</Words>
  <Characters>35263</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51</cp:revision>
  <cp:lastPrinted>2025-12-11T14:20:00Z</cp:lastPrinted>
  <dcterms:created xsi:type="dcterms:W3CDTF">2023-08-18T18:10:00Z</dcterms:created>
  <dcterms:modified xsi:type="dcterms:W3CDTF">2025-12-11T14:20:00Z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